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0" w:type="auto"/>
        <w:tblInd w:w="93" w:type="dxa"/>
        <w:tblLayout w:type="fixed"/>
        <w:tblCellMar>
          <w:top w:w="0" w:type="dxa"/>
          <w:left w:w="108" w:type="dxa"/>
          <w:bottom w:w="0" w:type="dxa"/>
          <w:right w:w="108" w:type="dxa"/>
        </w:tblCellMar>
      </w:tblPr>
      <w:tblGrid>
        <w:gridCol w:w="1507"/>
        <w:gridCol w:w="1615"/>
        <w:gridCol w:w="3410"/>
        <w:gridCol w:w="3973"/>
        <w:gridCol w:w="506"/>
        <w:gridCol w:w="531"/>
        <w:gridCol w:w="2043"/>
        <w:gridCol w:w="419"/>
      </w:tblGrid>
      <w:tr>
        <w:tblPrEx>
          <w:tblCellMar>
            <w:top w:w="0" w:type="dxa"/>
            <w:left w:w="108" w:type="dxa"/>
            <w:bottom w:w="0" w:type="dxa"/>
            <w:right w:w="108" w:type="dxa"/>
          </w:tblCellMar>
        </w:tblPrEx>
        <w:trPr>
          <w:trHeight w:val="405" w:hRule="atLeast"/>
        </w:trPr>
        <w:tc>
          <w:tcPr>
            <w:tcW w:w="14004" w:type="dxa"/>
            <w:gridSpan w:val="8"/>
            <w:tcBorders>
              <w:top w:val="nil"/>
              <w:left w:val="nil"/>
              <w:bottom w:val="nil"/>
              <w:right w:val="nil"/>
            </w:tcBorders>
            <w:vAlign w:val="center"/>
          </w:tcPr>
          <w:p>
            <w:pPr>
              <w:widowControl/>
              <w:jc w:val="center"/>
              <w:rPr>
                <w:rFonts w:ascii="宋体" w:hAnsi="宋体" w:cs="宋体"/>
                <w:b/>
                <w:bCs/>
                <w:color w:val="000000"/>
                <w:kern w:val="0"/>
                <w:sz w:val="32"/>
                <w:szCs w:val="32"/>
              </w:rPr>
            </w:pPr>
            <w:r>
              <w:rPr>
                <w:rFonts w:hint="eastAsia" w:ascii="宋体" w:hAnsi="宋体" w:cs="宋体"/>
                <w:b/>
                <w:bCs/>
                <w:color w:val="000000"/>
                <w:kern w:val="0"/>
                <w:sz w:val="32"/>
                <w:szCs w:val="32"/>
              </w:rPr>
              <w:t>《</w:t>
            </w:r>
            <w:bookmarkStart w:id="0" w:name="_GoBack"/>
            <w:r>
              <w:rPr>
                <w:rFonts w:hint="eastAsia" w:ascii="宋体" w:hAnsi="宋体" w:cs="宋体"/>
                <w:b/>
                <w:bCs/>
                <w:color w:val="000000"/>
                <w:kern w:val="0"/>
                <w:sz w:val="32"/>
                <w:szCs w:val="32"/>
                <w:lang w:val="en-US" w:eastAsia="zh-CN"/>
              </w:rPr>
              <w:t>土地收购储备中心</w:t>
            </w:r>
            <w:r>
              <w:rPr>
                <w:rFonts w:hint="eastAsia" w:ascii="宋体" w:hAnsi="宋体" w:cs="宋体"/>
                <w:b/>
                <w:bCs/>
                <w:color w:val="000000"/>
                <w:kern w:val="0"/>
                <w:sz w:val="32"/>
                <w:szCs w:val="32"/>
              </w:rPr>
              <w:t>整体支出绩效目标申报表</w:t>
            </w:r>
            <w:bookmarkEnd w:id="0"/>
            <w:r>
              <w:rPr>
                <w:rFonts w:hint="eastAsia" w:ascii="宋体" w:hAnsi="宋体" w:cs="宋体"/>
                <w:b/>
                <w:bCs/>
                <w:color w:val="000000"/>
                <w:kern w:val="0"/>
                <w:sz w:val="32"/>
                <w:szCs w:val="32"/>
              </w:rPr>
              <w:t>》</w:t>
            </w:r>
          </w:p>
        </w:tc>
      </w:tr>
      <w:tr>
        <w:tblPrEx>
          <w:tblCellMar>
            <w:top w:w="0" w:type="dxa"/>
            <w:left w:w="108" w:type="dxa"/>
            <w:bottom w:w="0" w:type="dxa"/>
            <w:right w:w="108" w:type="dxa"/>
          </w:tblCellMar>
        </w:tblPrEx>
        <w:trPr>
          <w:trHeight w:val="315" w:hRule="atLeast"/>
        </w:trPr>
        <w:tc>
          <w:tcPr>
            <w:tcW w:w="14004" w:type="dxa"/>
            <w:gridSpan w:val="8"/>
            <w:tcBorders>
              <w:top w:val="nil"/>
              <w:left w:val="nil"/>
              <w:bottom w:val="nil"/>
              <w:right w:val="nil"/>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w:t>
            </w:r>
            <w:r>
              <w:rPr>
                <w:color w:val="000000"/>
                <w:kern w:val="0"/>
                <w:sz w:val="24"/>
              </w:rPr>
              <w:t xml:space="preserve">  </w:t>
            </w:r>
            <w:r>
              <w:rPr>
                <w:rFonts w:hint="eastAsia"/>
                <w:color w:val="000000"/>
                <w:kern w:val="0"/>
                <w:sz w:val="24"/>
                <w:lang w:val="en-US" w:eastAsia="zh-CN"/>
              </w:rPr>
              <w:t>2022</w:t>
            </w:r>
            <w:r>
              <w:rPr>
                <w:color w:val="000000"/>
                <w:kern w:val="0"/>
                <w:sz w:val="24"/>
              </w:rPr>
              <w:t xml:space="preserve"> </w:t>
            </w:r>
            <w:r>
              <w:rPr>
                <w:rFonts w:hint="eastAsia" w:ascii="宋体" w:hAnsi="宋体" w:cs="宋体"/>
                <w:color w:val="000000"/>
                <w:kern w:val="0"/>
                <w:sz w:val="24"/>
              </w:rPr>
              <w:t>年度）</w:t>
            </w:r>
          </w:p>
        </w:tc>
      </w:tr>
      <w:tr>
        <w:tblPrEx>
          <w:tblCellMar>
            <w:top w:w="0" w:type="dxa"/>
            <w:left w:w="108" w:type="dxa"/>
            <w:bottom w:w="0" w:type="dxa"/>
            <w:right w:w="108" w:type="dxa"/>
          </w:tblCellMar>
        </w:tblPrEx>
        <w:trPr>
          <w:trHeight w:val="402" w:hRule="atLeast"/>
        </w:trPr>
        <w:tc>
          <w:tcPr>
            <w:tcW w:w="3122" w:type="dxa"/>
            <w:gridSpan w:val="2"/>
            <w:tcBorders>
              <w:top w:val="single" w:color="auto" w:sz="8" w:space="0"/>
              <w:left w:val="single" w:color="auto" w:sz="8" w:space="0"/>
              <w:bottom w:val="single" w:color="000000"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部门（单位）名称</w:t>
            </w:r>
          </w:p>
        </w:tc>
        <w:tc>
          <w:tcPr>
            <w:tcW w:w="3410" w:type="dxa"/>
            <w:tcBorders>
              <w:top w:val="single" w:color="auto" w:sz="8"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临汾经济开发区管理委员会土地收购储备中心</w:t>
            </w:r>
            <w:r>
              <w:rPr>
                <w:rFonts w:hint="eastAsia" w:ascii="宋体" w:hAnsi="宋体" w:cs="宋体"/>
                <w:color w:val="000000"/>
                <w:kern w:val="0"/>
                <w:sz w:val="22"/>
                <w:szCs w:val="22"/>
              </w:rPr>
              <w:t>　</w:t>
            </w:r>
          </w:p>
        </w:tc>
        <w:tc>
          <w:tcPr>
            <w:tcW w:w="5010" w:type="dxa"/>
            <w:gridSpan w:val="3"/>
            <w:tcBorders>
              <w:top w:val="single" w:color="auto" w:sz="8"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下属预算单位个数</w:t>
            </w:r>
          </w:p>
        </w:tc>
        <w:tc>
          <w:tcPr>
            <w:tcW w:w="2462" w:type="dxa"/>
            <w:gridSpan w:val="2"/>
            <w:tcBorders>
              <w:top w:val="single" w:color="auto" w:sz="8" w:space="0"/>
              <w:left w:val="nil"/>
              <w:bottom w:val="single" w:color="auto" w:sz="4" w:space="0"/>
              <w:right w:val="single" w:color="000000" w:sz="8"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0</w:t>
            </w: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402" w:hRule="atLeast"/>
        </w:trPr>
        <w:tc>
          <w:tcPr>
            <w:tcW w:w="1507" w:type="dxa"/>
            <w:vMerge w:val="restart"/>
            <w:tcBorders>
              <w:top w:val="nil"/>
              <w:left w:val="single" w:color="auto" w:sz="8" w:space="0"/>
              <w:bottom w:val="single" w:color="000000"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部 门</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职 责</w:t>
            </w:r>
          </w:p>
        </w:tc>
        <w:tc>
          <w:tcPr>
            <w:tcW w:w="12497" w:type="dxa"/>
            <w:gridSpan w:val="7"/>
            <w:vMerge w:val="restart"/>
            <w:tcBorders>
              <w:top w:val="single" w:color="auto" w:sz="4" w:space="0"/>
              <w:left w:val="nil"/>
              <w:bottom w:val="single" w:color="auto" w:sz="4" w:space="0"/>
              <w:right w:val="single" w:color="000000" w:sz="8" w:space="0"/>
            </w:tcBorders>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根据土地利用总体规划、年度土地利用计划、开发区土地利用规划，会同有关部门制定收购、储备计划，实施收购储备土地；定期向社会公布土地收购储备情况；负责对储备土地进行经营管理；负责对储备的土地进行前期拆迁开发工作；负责筹集、运作和管理土地收购储备基金工作。</w:t>
            </w:r>
          </w:p>
        </w:tc>
      </w:tr>
      <w:tr>
        <w:tblPrEx>
          <w:tblCellMar>
            <w:top w:w="0" w:type="dxa"/>
            <w:left w:w="108" w:type="dxa"/>
            <w:bottom w:w="0" w:type="dxa"/>
            <w:right w:w="108" w:type="dxa"/>
          </w:tblCellMar>
        </w:tblPrEx>
        <w:trPr>
          <w:trHeight w:val="286" w:hRule="atLeast"/>
        </w:trPr>
        <w:tc>
          <w:tcPr>
            <w:tcW w:w="1507" w:type="dxa"/>
            <w:vMerge w:val="continue"/>
            <w:tcBorders>
              <w:top w:val="nil"/>
              <w:left w:val="single" w:color="auto" w:sz="8"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12497" w:type="dxa"/>
            <w:gridSpan w:val="7"/>
            <w:vMerge w:val="continue"/>
            <w:tcBorders>
              <w:top w:val="single" w:color="auto" w:sz="4" w:space="0"/>
              <w:left w:val="nil"/>
              <w:bottom w:val="single" w:color="auto" w:sz="4" w:space="0"/>
              <w:right w:val="single" w:color="000000" w:sz="8"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402" w:hRule="atLeast"/>
        </w:trPr>
        <w:tc>
          <w:tcPr>
            <w:tcW w:w="1507"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年度</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履职</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目标</w:t>
            </w:r>
          </w:p>
        </w:tc>
        <w:tc>
          <w:tcPr>
            <w:tcW w:w="12497" w:type="dxa"/>
            <w:gridSpan w:val="7"/>
            <w:vMerge w:val="restart"/>
            <w:tcBorders>
              <w:top w:val="single" w:color="auto" w:sz="4" w:space="0"/>
              <w:left w:val="single" w:color="auto" w:sz="4" w:space="0"/>
              <w:bottom w:val="nil"/>
              <w:right w:val="single" w:color="000000" w:sz="8" w:space="0"/>
            </w:tcBorders>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根据土地利用总体规划、年度土地利用计划、开发区土地利用规划，开展土地前期拆迁开发工作，足额支付土地开发费用及土地补偿、征地补偿、青苗和地上附着物补偿款。</w:t>
            </w:r>
          </w:p>
        </w:tc>
      </w:tr>
      <w:tr>
        <w:tblPrEx>
          <w:tblCellMar>
            <w:top w:w="0" w:type="dxa"/>
            <w:left w:w="108" w:type="dxa"/>
            <w:bottom w:w="0" w:type="dxa"/>
            <w:right w:w="108" w:type="dxa"/>
          </w:tblCellMar>
        </w:tblPrEx>
        <w:trPr>
          <w:trHeight w:val="402" w:hRule="atLeast"/>
        </w:trPr>
        <w:tc>
          <w:tcPr>
            <w:tcW w:w="1507" w:type="dxa"/>
            <w:vMerge w:val="continue"/>
            <w:tcBorders>
              <w:top w:val="nil"/>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12497" w:type="dxa"/>
            <w:gridSpan w:val="7"/>
            <w:vMerge w:val="continue"/>
            <w:tcBorders>
              <w:top w:val="single" w:color="auto" w:sz="4" w:space="0"/>
              <w:left w:val="single" w:color="auto" w:sz="4" w:space="0"/>
              <w:bottom w:val="nil"/>
              <w:right w:val="single" w:color="000000" w:sz="8"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402" w:hRule="atLeast"/>
        </w:trPr>
        <w:tc>
          <w:tcPr>
            <w:tcW w:w="1507" w:type="dxa"/>
            <w:vMerge w:val="continue"/>
            <w:tcBorders>
              <w:top w:val="nil"/>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12497" w:type="dxa"/>
            <w:gridSpan w:val="7"/>
            <w:vMerge w:val="continue"/>
            <w:tcBorders>
              <w:top w:val="single" w:color="auto" w:sz="4" w:space="0"/>
              <w:left w:val="single" w:color="auto" w:sz="4" w:space="0"/>
              <w:bottom w:val="nil"/>
              <w:right w:val="single" w:color="000000" w:sz="8"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402" w:hRule="atLeast"/>
        </w:trPr>
        <w:tc>
          <w:tcPr>
            <w:tcW w:w="1507"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年度</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重点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任务</w:t>
            </w:r>
          </w:p>
        </w:tc>
        <w:tc>
          <w:tcPr>
            <w:tcW w:w="161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内容</w:t>
            </w:r>
          </w:p>
        </w:tc>
        <w:tc>
          <w:tcPr>
            <w:tcW w:w="341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主要内容（重点工作计划）</w:t>
            </w:r>
          </w:p>
        </w:tc>
        <w:tc>
          <w:tcPr>
            <w:tcW w:w="7472" w:type="dxa"/>
            <w:gridSpan w:val="5"/>
            <w:tcBorders>
              <w:top w:val="single" w:color="auto" w:sz="4" w:space="0"/>
              <w:left w:val="nil"/>
              <w:bottom w:val="single" w:color="auto" w:sz="4" w:space="0"/>
              <w:right w:val="single" w:color="000000" w:sz="8"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预算情况</w:t>
            </w:r>
          </w:p>
        </w:tc>
      </w:tr>
      <w:tr>
        <w:tblPrEx>
          <w:tblCellMar>
            <w:top w:w="0" w:type="dxa"/>
            <w:left w:w="108" w:type="dxa"/>
            <w:bottom w:w="0" w:type="dxa"/>
            <w:right w:w="108" w:type="dxa"/>
          </w:tblCellMar>
        </w:tblPrEx>
        <w:trPr>
          <w:trHeight w:val="402" w:hRule="atLeast"/>
        </w:trPr>
        <w:tc>
          <w:tcPr>
            <w:tcW w:w="1507" w:type="dxa"/>
            <w:vMerge w:val="continue"/>
            <w:tcBorders>
              <w:top w:val="nil"/>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1615" w:type="dxa"/>
            <w:tcBorders>
              <w:top w:val="nil"/>
              <w:left w:val="nil"/>
              <w:bottom w:val="single" w:color="auto" w:sz="4" w:space="0"/>
              <w:right w:val="single" w:color="auto" w:sz="4" w:space="0"/>
            </w:tcBorders>
            <w:vAlign w:val="center"/>
          </w:tcPr>
          <w:p>
            <w:pPr>
              <w:widowControl/>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任务1</w:t>
            </w:r>
          </w:p>
        </w:tc>
        <w:tc>
          <w:tcPr>
            <w:tcW w:w="3410" w:type="dxa"/>
            <w:tcBorders>
              <w:top w:val="single" w:color="auto" w:sz="4" w:space="0"/>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土地征收、拆迁及青苗地上附着物补偿</w:t>
            </w:r>
          </w:p>
        </w:tc>
        <w:tc>
          <w:tcPr>
            <w:tcW w:w="5010" w:type="dxa"/>
            <w:gridSpan w:val="3"/>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一、部门整体预算总额（万元）</w:t>
            </w:r>
          </w:p>
        </w:tc>
        <w:tc>
          <w:tcPr>
            <w:tcW w:w="2462" w:type="dxa"/>
            <w:gridSpan w:val="2"/>
            <w:tcBorders>
              <w:top w:val="single" w:color="auto" w:sz="4" w:space="0"/>
              <w:left w:val="nil"/>
              <w:bottom w:val="single" w:color="auto" w:sz="4" w:space="0"/>
              <w:right w:val="single" w:color="000000" w:sz="8" w:space="0"/>
            </w:tcBorders>
            <w:vAlign w:val="center"/>
          </w:tcPr>
          <w:p>
            <w:pPr>
              <w:widowControl/>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rPr>
              <w:t>　</w:t>
            </w:r>
            <w:r>
              <w:rPr>
                <w:rFonts w:hint="eastAsia" w:ascii="宋体" w:hAnsi="宋体" w:cs="宋体"/>
                <w:color w:val="000000"/>
                <w:kern w:val="0"/>
                <w:sz w:val="22"/>
                <w:szCs w:val="22"/>
                <w:lang w:val="en-US" w:eastAsia="zh-CN"/>
              </w:rPr>
              <w:t>23348.8</w:t>
            </w:r>
          </w:p>
        </w:tc>
      </w:tr>
      <w:tr>
        <w:tblPrEx>
          <w:tblCellMar>
            <w:top w:w="0" w:type="dxa"/>
            <w:left w:w="108" w:type="dxa"/>
            <w:bottom w:w="0" w:type="dxa"/>
            <w:right w:w="108" w:type="dxa"/>
          </w:tblCellMar>
        </w:tblPrEx>
        <w:trPr>
          <w:trHeight w:val="402" w:hRule="atLeast"/>
        </w:trPr>
        <w:tc>
          <w:tcPr>
            <w:tcW w:w="1507" w:type="dxa"/>
            <w:vMerge w:val="continue"/>
            <w:tcBorders>
              <w:top w:val="nil"/>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1615" w:type="dxa"/>
            <w:tcBorders>
              <w:top w:val="nil"/>
              <w:left w:val="nil"/>
              <w:bottom w:val="single" w:color="auto" w:sz="4" w:space="0"/>
              <w:right w:val="single" w:color="auto" w:sz="4" w:space="0"/>
            </w:tcBorders>
            <w:vAlign w:val="center"/>
          </w:tcPr>
          <w:p>
            <w:pPr>
              <w:widowControl/>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任务2</w:t>
            </w:r>
          </w:p>
        </w:tc>
        <w:tc>
          <w:tcPr>
            <w:tcW w:w="341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其他国有土地使用权出让收入安排的支出</w:t>
            </w:r>
            <w:r>
              <w:rPr>
                <w:rFonts w:hint="eastAsia" w:ascii="宋体" w:hAnsi="宋体" w:cs="宋体"/>
                <w:color w:val="000000"/>
                <w:kern w:val="0"/>
                <w:sz w:val="22"/>
                <w:szCs w:val="22"/>
              </w:rPr>
              <w:t>　</w:t>
            </w:r>
          </w:p>
        </w:tc>
        <w:tc>
          <w:tcPr>
            <w:tcW w:w="5010" w:type="dxa"/>
            <w:gridSpan w:val="3"/>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1、资金来源：（1）财政拨款</w:t>
            </w:r>
          </w:p>
        </w:tc>
        <w:tc>
          <w:tcPr>
            <w:tcW w:w="2462" w:type="dxa"/>
            <w:gridSpan w:val="2"/>
            <w:tcBorders>
              <w:top w:val="single" w:color="auto" w:sz="4" w:space="0"/>
              <w:left w:val="nil"/>
              <w:bottom w:val="single" w:color="auto" w:sz="4" w:space="0"/>
              <w:right w:val="single" w:color="000000" w:sz="8" w:space="0"/>
            </w:tcBorders>
            <w:vAlign w:val="center"/>
          </w:tcPr>
          <w:p>
            <w:pPr>
              <w:widowControl/>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rPr>
              <w:t>　</w:t>
            </w:r>
            <w:r>
              <w:rPr>
                <w:rFonts w:hint="eastAsia" w:ascii="宋体" w:hAnsi="宋体" w:cs="宋体"/>
                <w:color w:val="000000"/>
                <w:kern w:val="0"/>
                <w:sz w:val="22"/>
                <w:szCs w:val="22"/>
                <w:lang w:val="en-US" w:eastAsia="zh-CN"/>
              </w:rPr>
              <w:t>23348.8</w:t>
            </w:r>
          </w:p>
        </w:tc>
      </w:tr>
      <w:tr>
        <w:tblPrEx>
          <w:tblCellMar>
            <w:top w:w="0" w:type="dxa"/>
            <w:left w:w="108" w:type="dxa"/>
            <w:bottom w:w="0" w:type="dxa"/>
            <w:right w:w="108" w:type="dxa"/>
          </w:tblCellMar>
        </w:tblPrEx>
        <w:trPr>
          <w:trHeight w:val="402" w:hRule="atLeast"/>
        </w:trPr>
        <w:tc>
          <w:tcPr>
            <w:tcW w:w="1507" w:type="dxa"/>
            <w:vMerge w:val="continue"/>
            <w:tcBorders>
              <w:top w:val="nil"/>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1615" w:type="dxa"/>
            <w:tcBorders>
              <w:top w:val="nil"/>
              <w:left w:val="nil"/>
              <w:bottom w:val="single" w:color="auto" w:sz="4" w:space="0"/>
              <w:right w:val="single" w:color="auto" w:sz="4" w:space="0"/>
            </w:tcBorders>
            <w:vAlign w:val="center"/>
          </w:tcPr>
          <w:p>
            <w:pPr>
              <w:widowControl/>
              <w:rPr>
                <w:rFonts w:ascii="宋体" w:hAnsi="宋体" w:cs="宋体"/>
                <w:color w:val="000000"/>
                <w:kern w:val="0"/>
                <w:sz w:val="22"/>
                <w:szCs w:val="22"/>
              </w:rPr>
            </w:pPr>
            <w:r>
              <w:rPr>
                <w:rFonts w:hint="eastAsia" w:ascii="宋体" w:hAnsi="宋体" w:cs="宋体"/>
                <w:color w:val="000000"/>
                <w:kern w:val="0"/>
                <w:sz w:val="22"/>
                <w:szCs w:val="22"/>
              </w:rPr>
              <w:t>　</w:t>
            </w:r>
          </w:p>
        </w:tc>
        <w:tc>
          <w:tcPr>
            <w:tcW w:w="341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5010" w:type="dxa"/>
            <w:gridSpan w:val="3"/>
            <w:tcBorders>
              <w:top w:val="single" w:color="auto" w:sz="4" w:space="0"/>
              <w:left w:val="nil"/>
              <w:bottom w:val="single" w:color="auto" w:sz="4" w:space="0"/>
              <w:right w:val="single" w:color="auto" w:sz="4" w:space="0"/>
            </w:tcBorders>
            <w:vAlign w:val="center"/>
          </w:tcPr>
          <w:p>
            <w:pPr>
              <w:widowControl/>
              <w:rPr>
                <w:rFonts w:ascii="宋体" w:hAnsi="宋体" w:cs="宋体"/>
                <w:color w:val="000000"/>
                <w:kern w:val="0"/>
                <w:sz w:val="22"/>
                <w:szCs w:val="22"/>
              </w:rPr>
            </w:pPr>
            <w:r>
              <w:rPr>
                <w:rFonts w:hint="eastAsia" w:ascii="宋体" w:hAnsi="宋体" w:cs="宋体"/>
                <w:color w:val="000000"/>
                <w:kern w:val="0"/>
                <w:sz w:val="22"/>
                <w:szCs w:val="22"/>
              </w:rPr>
              <w:t xml:space="preserve">             （2）其他资金</w:t>
            </w:r>
          </w:p>
        </w:tc>
        <w:tc>
          <w:tcPr>
            <w:tcW w:w="2462" w:type="dxa"/>
            <w:gridSpan w:val="2"/>
            <w:tcBorders>
              <w:top w:val="single" w:color="auto" w:sz="4" w:space="0"/>
              <w:left w:val="nil"/>
              <w:bottom w:val="single" w:color="auto" w:sz="4" w:space="0"/>
              <w:right w:val="single" w:color="000000" w:sz="8"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402" w:hRule="atLeast"/>
        </w:trPr>
        <w:tc>
          <w:tcPr>
            <w:tcW w:w="1507" w:type="dxa"/>
            <w:vMerge w:val="continue"/>
            <w:tcBorders>
              <w:top w:val="nil"/>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1615" w:type="dxa"/>
            <w:tcBorders>
              <w:top w:val="nil"/>
              <w:left w:val="nil"/>
              <w:bottom w:val="single" w:color="auto" w:sz="4" w:space="0"/>
              <w:right w:val="single" w:color="auto" w:sz="4" w:space="0"/>
            </w:tcBorders>
            <w:vAlign w:val="center"/>
          </w:tcPr>
          <w:p>
            <w:pPr>
              <w:widowControl/>
              <w:rPr>
                <w:rFonts w:ascii="宋体" w:hAnsi="宋体" w:cs="宋体"/>
                <w:color w:val="000000"/>
                <w:kern w:val="0"/>
                <w:sz w:val="22"/>
                <w:szCs w:val="22"/>
              </w:rPr>
            </w:pPr>
            <w:r>
              <w:rPr>
                <w:rFonts w:hint="eastAsia" w:ascii="宋体" w:hAnsi="宋体" w:cs="宋体"/>
                <w:color w:val="000000"/>
                <w:kern w:val="0"/>
                <w:sz w:val="22"/>
                <w:szCs w:val="22"/>
              </w:rPr>
              <w:t>　</w:t>
            </w:r>
          </w:p>
        </w:tc>
        <w:tc>
          <w:tcPr>
            <w:tcW w:w="341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5010" w:type="dxa"/>
            <w:gridSpan w:val="3"/>
            <w:tcBorders>
              <w:top w:val="single" w:color="auto" w:sz="4" w:space="0"/>
              <w:left w:val="nil"/>
              <w:bottom w:val="single" w:color="auto" w:sz="4" w:space="0"/>
              <w:right w:val="single" w:color="auto" w:sz="4" w:space="0"/>
            </w:tcBorders>
            <w:vAlign w:val="center"/>
          </w:tcPr>
          <w:p>
            <w:pPr>
              <w:widowControl/>
              <w:rPr>
                <w:rFonts w:ascii="宋体" w:hAnsi="宋体" w:cs="宋体"/>
                <w:color w:val="000000"/>
                <w:kern w:val="0"/>
                <w:sz w:val="22"/>
                <w:szCs w:val="22"/>
              </w:rPr>
            </w:pPr>
            <w:r>
              <w:rPr>
                <w:rFonts w:hint="eastAsia" w:ascii="宋体" w:hAnsi="宋体" w:cs="宋体"/>
                <w:color w:val="000000"/>
                <w:kern w:val="0"/>
                <w:sz w:val="22"/>
                <w:szCs w:val="22"/>
              </w:rPr>
              <w:t>2、资金结构：（1）基本支出</w:t>
            </w:r>
          </w:p>
        </w:tc>
        <w:tc>
          <w:tcPr>
            <w:tcW w:w="2462" w:type="dxa"/>
            <w:gridSpan w:val="2"/>
            <w:tcBorders>
              <w:top w:val="single" w:color="auto" w:sz="4" w:space="0"/>
              <w:left w:val="nil"/>
              <w:bottom w:val="single" w:color="auto" w:sz="4" w:space="0"/>
              <w:right w:val="single" w:color="000000" w:sz="8"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402" w:hRule="atLeast"/>
        </w:trPr>
        <w:tc>
          <w:tcPr>
            <w:tcW w:w="1507" w:type="dxa"/>
            <w:vMerge w:val="continue"/>
            <w:tcBorders>
              <w:top w:val="nil"/>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1615" w:type="dxa"/>
            <w:tcBorders>
              <w:top w:val="nil"/>
              <w:left w:val="nil"/>
              <w:bottom w:val="single" w:color="auto" w:sz="4" w:space="0"/>
              <w:right w:val="single" w:color="auto" w:sz="4" w:space="0"/>
            </w:tcBorders>
            <w:vAlign w:val="center"/>
          </w:tcPr>
          <w:p>
            <w:pPr>
              <w:widowControl/>
              <w:rPr>
                <w:rFonts w:ascii="宋体" w:hAnsi="宋体" w:cs="宋体"/>
                <w:color w:val="000000"/>
                <w:kern w:val="0"/>
                <w:sz w:val="22"/>
                <w:szCs w:val="22"/>
              </w:rPr>
            </w:pPr>
            <w:r>
              <w:rPr>
                <w:rFonts w:hint="eastAsia" w:ascii="宋体" w:hAnsi="宋体" w:cs="宋体"/>
                <w:color w:val="000000"/>
                <w:kern w:val="0"/>
                <w:sz w:val="22"/>
                <w:szCs w:val="22"/>
              </w:rPr>
              <w:t>　</w:t>
            </w:r>
          </w:p>
        </w:tc>
        <w:tc>
          <w:tcPr>
            <w:tcW w:w="341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5010" w:type="dxa"/>
            <w:gridSpan w:val="3"/>
            <w:tcBorders>
              <w:top w:val="single" w:color="auto" w:sz="4" w:space="0"/>
              <w:left w:val="nil"/>
              <w:bottom w:val="single" w:color="auto" w:sz="4" w:space="0"/>
              <w:right w:val="single" w:color="auto" w:sz="4" w:space="0"/>
            </w:tcBorders>
            <w:vAlign w:val="center"/>
          </w:tcPr>
          <w:p>
            <w:pPr>
              <w:widowControl/>
              <w:rPr>
                <w:rFonts w:ascii="宋体" w:hAnsi="宋体" w:cs="宋体"/>
                <w:color w:val="000000"/>
                <w:kern w:val="0"/>
                <w:sz w:val="22"/>
                <w:szCs w:val="22"/>
              </w:rPr>
            </w:pPr>
            <w:r>
              <w:rPr>
                <w:rFonts w:hint="eastAsia" w:ascii="宋体" w:hAnsi="宋体" w:cs="宋体"/>
                <w:color w:val="000000"/>
                <w:kern w:val="0"/>
                <w:sz w:val="22"/>
                <w:szCs w:val="22"/>
              </w:rPr>
              <w:t xml:space="preserve">             （2）项目支出</w:t>
            </w:r>
          </w:p>
        </w:tc>
        <w:tc>
          <w:tcPr>
            <w:tcW w:w="2462" w:type="dxa"/>
            <w:gridSpan w:val="2"/>
            <w:tcBorders>
              <w:top w:val="single" w:color="auto" w:sz="4" w:space="0"/>
              <w:left w:val="nil"/>
              <w:bottom w:val="single" w:color="auto" w:sz="4" w:space="0"/>
              <w:right w:val="single" w:color="000000" w:sz="8" w:space="0"/>
            </w:tcBorders>
            <w:vAlign w:val="center"/>
          </w:tcPr>
          <w:p>
            <w:pPr>
              <w:widowControl/>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rPr>
              <w:t>　</w:t>
            </w:r>
            <w:r>
              <w:rPr>
                <w:rFonts w:hint="eastAsia" w:ascii="宋体" w:hAnsi="宋体" w:cs="宋体"/>
                <w:color w:val="000000"/>
                <w:kern w:val="0"/>
                <w:sz w:val="22"/>
                <w:szCs w:val="22"/>
                <w:lang w:val="en-US" w:eastAsia="zh-CN"/>
              </w:rPr>
              <w:t>23348.8</w:t>
            </w:r>
          </w:p>
        </w:tc>
      </w:tr>
      <w:tr>
        <w:tblPrEx>
          <w:tblCellMar>
            <w:top w:w="0" w:type="dxa"/>
            <w:left w:w="108" w:type="dxa"/>
            <w:bottom w:w="0" w:type="dxa"/>
            <w:right w:w="108" w:type="dxa"/>
          </w:tblCellMar>
        </w:tblPrEx>
        <w:trPr>
          <w:trHeight w:val="402" w:hRule="atLeast"/>
        </w:trPr>
        <w:tc>
          <w:tcPr>
            <w:tcW w:w="1507" w:type="dxa"/>
            <w:vMerge w:val="continue"/>
            <w:tcBorders>
              <w:top w:val="nil"/>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1615" w:type="dxa"/>
            <w:tcBorders>
              <w:top w:val="nil"/>
              <w:left w:val="nil"/>
              <w:bottom w:val="single" w:color="auto" w:sz="4" w:space="0"/>
              <w:right w:val="single" w:color="auto" w:sz="4" w:space="0"/>
            </w:tcBorders>
            <w:vAlign w:val="center"/>
          </w:tcPr>
          <w:p>
            <w:pPr>
              <w:widowControl/>
              <w:rPr>
                <w:rFonts w:ascii="宋体" w:hAnsi="宋体" w:cs="宋体"/>
                <w:color w:val="000000"/>
                <w:kern w:val="0"/>
                <w:sz w:val="22"/>
                <w:szCs w:val="22"/>
              </w:rPr>
            </w:pPr>
            <w:r>
              <w:rPr>
                <w:rFonts w:hint="eastAsia" w:ascii="宋体" w:hAnsi="宋体" w:cs="宋体"/>
                <w:color w:val="000000"/>
                <w:kern w:val="0"/>
                <w:sz w:val="22"/>
                <w:szCs w:val="22"/>
              </w:rPr>
              <w:t>……</w:t>
            </w:r>
          </w:p>
        </w:tc>
        <w:tc>
          <w:tcPr>
            <w:tcW w:w="341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3973"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二、年末在职人数：</w:t>
            </w:r>
          </w:p>
        </w:tc>
        <w:tc>
          <w:tcPr>
            <w:tcW w:w="1037" w:type="dxa"/>
            <w:gridSpan w:val="2"/>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rPr>
              <w:t>　</w:t>
            </w:r>
            <w:r>
              <w:rPr>
                <w:rFonts w:hint="eastAsia" w:ascii="宋体" w:hAnsi="宋体" w:cs="宋体"/>
                <w:color w:val="000000"/>
                <w:kern w:val="0"/>
                <w:sz w:val="22"/>
                <w:szCs w:val="22"/>
                <w:lang w:val="en-US" w:eastAsia="zh-CN"/>
              </w:rPr>
              <w:t>6</w:t>
            </w:r>
          </w:p>
        </w:tc>
        <w:tc>
          <w:tcPr>
            <w:tcW w:w="2043"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内设机构数</w:t>
            </w:r>
          </w:p>
        </w:tc>
        <w:tc>
          <w:tcPr>
            <w:tcW w:w="419" w:type="dxa"/>
            <w:tcBorders>
              <w:top w:val="nil"/>
              <w:left w:val="nil"/>
              <w:bottom w:val="single" w:color="auto" w:sz="4" w:space="0"/>
              <w:right w:val="single" w:color="auto" w:sz="8"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lang w:val="en-US" w:eastAsia="zh-CN"/>
              </w:rPr>
              <w:t>0</w:t>
            </w: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402" w:hRule="atLeast"/>
        </w:trPr>
        <w:tc>
          <w:tcPr>
            <w:tcW w:w="14004" w:type="dxa"/>
            <w:gridSpan w:val="8"/>
            <w:tcBorders>
              <w:top w:val="single" w:color="auto" w:sz="4" w:space="0"/>
              <w:left w:val="single" w:color="auto" w:sz="8" w:space="0"/>
              <w:bottom w:val="single" w:color="auto" w:sz="4" w:space="0"/>
              <w:right w:val="single" w:color="000000" w:sz="8"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分解目标</w:t>
            </w:r>
          </w:p>
        </w:tc>
      </w:tr>
      <w:tr>
        <w:tblPrEx>
          <w:tblCellMar>
            <w:top w:w="0" w:type="dxa"/>
            <w:left w:w="108" w:type="dxa"/>
            <w:bottom w:w="0" w:type="dxa"/>
            <w:right w:w="108" w:type="dxa"/>
          </w:tblCellMar>
        </w:tblPrEx>
        <w:trPr>
          <w:trHeight w:val="285" w:hRule="atLeast"/>
        </w:trPr>
        <w:tc>
          <w:tcPr>
            <w:tcW w:w="3122" w:type="dxa"/>
            <w:gridSpan w:val="2"/>
            <w:vMerge w:val="restart"/>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一级指标</w:t>
            </w:r>
          </w:p>
        </w:tc>
        <w:tc>
          <w:tcPr>
            <w:tcW w:w="341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二级指标</w:t>
            </w:r>
          </w:p>
        </w:tc>
        <w:tc>
          <w:tcPr>
            <w:tcW w:w="4479"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三级指标</w:t>
            </w:r>
          </w:p>
        </w:tc>
        <w:tc>
          <w:tcPr>
            <w:tcW w:w="2993" w:type="dxa"/>
            <w:gridSpan w:val="3"/>
            <w:vMerge w:val="restart"/>
            <w:tcBorders>
              <w:top w:val="single" w:color="auto" w:sz="4" w:space="0"/>
              <w:left w:val="single" w:color="auto" w:sz="4" w:space="0"/>
              <w:bottom w:val="single" w:color="auto" w:sz="4" w:space="0"/>
              <w:right w:val="single" w:color="000000" w:sz="8"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指标值</w:t>
            </w:r>
          </w:p>
        </w:tc>
      </w:tr>
      <w:tr>
        <w:tblPrEx>
          <w:tblCellMar>
            <w:top w:w="0" w:type="dxa"/>
            <w:left w:w="108" w:type="dxa"/>
            <w:bottom w:w="0" w:type="dxa"/>
            <w:right w:w="108" w:type="dxa"/>
          </w:tblCellMar>
        </w:tblPrEx>
        <w:trPr>
          <w:trHeight w:val="285" w:hRule="atLeast"/>
        </w:trPr>
        <w:tc>
          <w:tcPr>
            <w:tcW w:w="3122"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4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47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2993" w:type="dxa"/>
            <w:gridSpan w:val="3"/>
            <w:vMerge w:val="continue"/>
            <w:tcBorders>
              <w:top w:val="single" w:color="auto" w:sz="4" w:space="0"/>
              <w:left w:val="single" w:color="auto" w:sz="4" w:space="0"/>
              <w:bottom w:val="single" w:color="auto" w:sz="4" w:space="0"/>
              <w:right w:val="single" w:color="000000" w:sz="8"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402" w:hRule="atLeast"/>
        </w:trPr>
        <w:tc>
          <w:tcPr>
            <w:tcW w:w="3122" w:type="dxa"/>
            <w:gridSpan w:val="2"/>
            <w:vMerge w:val="restart"/>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投入管理指标</w:t>
            </w:r>
          </w:p>
        </w:tc>
        <w:tc>
          <w:tcPr>
            <w:tcW w:w="341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预算编审管理</w:t>
            </w:r>
          </w:p>
        </w:tc>
        <w:tc>
          <w:tcPr>
            <w:tcW w:w="7472" w:type="dxa"/>
            <w:gridSpan w:val="5"/>
            <w:vMerge w:val="restart"/>
            <w:tcBorders>
              <w:top w:val="single" w:color="auto" w:sz="4" w:space="0"/>
              <w:left w:val="single" w:color="auto" w:sz="4" w:space="0"/>
              <w:bottom w:val="single" w:color="auto" w:sz="4" w:space="0"/>
              <w:right w:val="single" w:color="000000" w:sz="8" w:space="0"/>
            </w:tcBorders>
            <w:vAlign w:val="center"/>
          </w:tcPr>
          <w:p>
            <w:pPr>
              <w:widowControl/>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无</w:t>
            </w:r>
          </w:p>
        </w:tc>
      </w:tr>
      <w:tr>
        <w:tblPrEx>
          <w:tblCellMar>
            <w:top w:w="0" w:type="dxa"/>
            <w:left w:w="108" w:type="dxa"/>
            <w:bottom w:w="0" w:type="dxa"/>
            <w:right w:w="108" w:type="dxa"/>
          </w:tblCellMar>
        </w:tblPrEx>
        <w:trPr>
          <w:trHeight w:val="402" w:hRule="atLeast"/>
        </w:trPr>
        <w:tc>
          <w:tcPr>
            <w:tcW w:w="3122"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41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预算执行管理</w:t>
            </w:r>
          </w:p>
        </w:tc>
        <w:tc>
          <w:tcPr>
            <w:tcW w:w="7472" w:type="dxa"/>
            <w:gridSpan w:val="5"/>
            <w:vMerge w:val="continue"/>
            <w:tcBorders>
              <w:top w:val="single" w:color="auto" w:sz="4" w:space="0"/>
              <w:left w:val="single" w:color="auto" w:sz="4" w:space="0"/>
              <w:bottom w:val="single" w:color="auto" w:sz="4" w:space="0"/>
              <w:right w:val="single" w:color="000000" w:sz="8"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402" w:hRule="atLeast"/>
        </w:trPr>
        <w:tc>
          <w:tcPr>
            <w:tcW w:w="3122"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41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部门结转结余资金管理</w:t>
            </w:r>
          </w:p>
        </w:tc>
        <w:tc>
          <w:tcPr>
            <w:tcW w:w="7472" w:type="dxa"/>
            <w:gridSpan w:val="5"/>
            <w:vMerge w:val="continue"/>
            <w:tcBorders>
              <w:top w:val="single" w:color="auto" w:sz="4" w:space="0"/>
              <w:left w:val="single" w:color="auto" w:sz="4" w:space="0"/>
              <w:bottom w:val="single" w:color="auto" w:sz="4" w:space="0"/>
              <w:right w:val="single" w:color="000000" w:sz="8"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402" w:hRule="atLeast"/>
        </w:trPr>
        <w:tc>
          <w:tcPr>
            <w:tcW w:w="3122"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41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国库管理</w:t>
            </w:r>
          </w:p>
        </w:tc>
        <w:tc>
          <w:tcPr>
            <w:tcW w:w="7472" w:type="dxa"/>
            <w:gridSpan w:val="5"/>
            <w:vMerge w:val="continue"/>
            <w:tcBorders>
              <w:top w:val="single" w:color="auto" w:sz="4" w:space="0"/>
              <w:left w:val="single" w:color="auto" w:sz="4" w:space="0"/>
              <w:bottom w:val="single" w:color="auto" w:sz="4" w:space="0"/>
              <w:right w:val="single" w:color="000000" w:sz="8"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402" w:hRule="atLeast"/>
        </w:trPr>
        <w:tc>
          <w:tcPr>
            <w:tcW w:w="3122"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41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预算绩效管理</w:t>
            </w:r>
          </w:p>
        </w:tc>
        <w:tc>
          <w:tcPr>
            <w:tcW w:w="7472" w:type="dxa"/>
            <w:gridSpan w:val="5"/>
            <w:vMerge w:val="continue"/>
            <w:tcBorders>
              <w:top w:val="single" w:color="auto" w:sz="4" w:space="0"/>
              <w:left w:val="single" w:color="auto" w:sz="4" w:space="0"/>
              <w:bottom w:val="single" w:color="auto" w:sz="4" w:space="0"/>
              <w:right w:val="single" w:color="000000" w:sz="8"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402" w:hRule="atLeast"/>
        </w:trPr>
        <w:tc>
          <w:tcPr>
            <w:tcW w:w="3122"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41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预决算信息公开管理</w:t>
            </w:r>
          </w:p>
        </w:tc>
        <w:tc>
          <w:tcPr>
            <w:tcW w:w="7472" w:type="dxa"/>
            <w:gridSpan w:val="5"/>
            <w:vMerge w:val="continue"/>
            <w:tcBorders>
              <w:top w:val="single" w:color="auto" w:sz="4" w:space="0"/>
              <w:left w:val="single" w:color="auto" w:sz="4" w:space="0"/>
              <w:bottom w:val="single" w:color="auto" w:sz="4" w:space="0"/>
              <w:right w:val="single" w:color="000000" w:sz="8"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402" w:hRule="atLeast"/>
        </w:trPr>
        <w:tc>
          <w:tcPr>
            <w:tcW w:w="3122"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41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财政监督管理</w:t>
            </w:r>
          </w:p>
        </w:tc>
        <w:tc>
          <w:tcPr>
            <w:tcW w:w="7472" w:type="dxa"/>
            <w:gridSpan w:val="5"/>
            <w:vMerge w:val="continue"/>
            <w:tcBorders>
              <w:top w:val="single" w:color="auto" w:sz="4" w:space="0"/>
              <w:left w:val="single" w:color="auto" w:sz="4" w:space="0"/>
              <w:bottom w:val="single" w:color="auto" w:sz="4" w:space="0"/>
              <w:right w:val="single" w:color="000000" w:sz="8"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402" w:hRule="atLeast"/>
        </w:trPr>
        <w:tc>
          <w:tcPr>
            <w:tcW w:w="3122"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41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政府采购管理</w:t>
            </w:r>
          </w:p>
        </w:tc>
        <w:tc>
          <w:tcPr>
            <w:tcW w:w="7472" w:type="dxa"/>
            <w:gridSpan w:val="5"/>
            <w:vMerge w:val="continue"/>
            <w:tcBorders>
              <w:top w:val="single" w:color="auto" w:sz="4" w:space="0"/>
              <w:left w:val="single" w:color="auto" w:sz="4" w:space="0"/>
              <w:bottom w:val="single" w:color="auto" w:sz="4" w:space="0"/>
              <w:right w:val="single" w:color="000000" w:sz="8"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402" w:hRule="atLeast"/>
        </w:trPr>
        <w:tc>
          <w:tcPr>
            <w:tcW w:w="3122"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41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资产管理</w:t>
            </w:r>
          </w:p>
        </w:tc>
        <w:tc>
          <w:tcPr>
            <w:tcW w:w="7472" w:type="dxa"/>
            <w:gridSpan w:val="5"/>
            <w:vMerge w:val="continue"/>
            <w:tcBorders>
              <w:top w:val="single" w:color="auto" w:sz="4" w:space="0"/>
              <w:left w:val="single" w:color="auto" w:sz="4" w:space="0"/>
              <w:bottom w:val="single" w:color="auto" w:sz="4" w:space="0"/>
              <w:right w:val="single" w:color="000000" w:sz="8"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402" w:hRule="atLeast"/>
        </w:trPr>
        <w:tc>
          <w:tcPr>
            <w:tcW w:w="3122" w:type="dxa"/>
            <w:gridSpan w:val="2"/>
            <w:vMerge w:val="restart"/>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产出指标</w:t>
            </w:r>
          </w:p>
        </w:tc>
        <w:tc>
          <w:tcPr>
            <w:tcW w:w="341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数量指标</w:t>
            </w:r>
          </w:p>
        </w:tc>
        <w:tc>
          <w:tcPr>
            <w:tcW w:w="4479" w:type="dxa"/>
            <w:gridSpan w:val="2"/>
            <w:tcBorders>
              <w:top w:val="single" w:color="auto" w:sz="4" w:space="0"/>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涉及面积</w:t>
            </w:r>
          </w:p>
        </w:tc>
        <w:tc>
          <w:tcPr>
            <w:tcW w:w="2993" w:type="dxa"/>
            <w:gridSpan w:val="3"/>
            <w:tcBorders>
              <w:top w:val="single" w:color="auto" w:sz="4" w:space="0"/>
              <w:left w:val="nil"/>
              <w:bottom w:val="single" w:color="auto" w:sz="4" w:space="0"/>
              <w:right w:val="single" w:color="000000" w:sz="8" w:space="0"/>
            </w:tcBorders>
            <w:vAlign w:val="center"/>
          </w:tcPr>
          <w:p>
            <w:pPr>
              <w:widowControl/>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131.76平方公里</w:t>
            </w:r>
          </w:p>
        </w:tc>
      </w:tr>
      <w:tr>
        <w:tblPrEx>
          <w:tblCellMar>
            <w:top w:w="0" w:type="dxa"/>
            <w:left w:w="108" w:type="dxa"/>
            <w:bottom w:w="0" w:type="dxa"/>
            <w:right w:w="108" w:type="dxa"/>
          </w:tblCellMar>
        </w:tblPrEx>
        <w:trPr>
          <w:trHeight w:val="402" w:hRule="atLeast"/>
        </w:trPr>
        <w:tc>
          <w:tcPr>
            <w:tcW w:w="3122"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4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479" w:type="dxa"/>
            <w:gridSpan w:val="2"/>
            <w:tcBorders>
              <w:top w:val="single" w:color="auto" w:sz="4" w:space="0"/>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涉及区域</w:t>
            </w:r>
          </w:p>
        </w:tc>
        <w:tc>
          <w:tcPr>
            <w:tcW w:w="2993" w:type="dxa"/>
            <w:gridSpan w:val="3"/>
            <w:tcBorders>
              <w:top w:val="single" w:color="auto" w:sz="4" w:space="0"/>
              <w:left w:val="nil"/>
              <w:bottom w:val="single" w:color="auto" w:sz="4" w:space="0"/>
              <w:right w:val="single" w:color="000000" w:sz="8" w:space="0"/>
            </w:tcBorders>
            <w:vAlign w:val="center"/>
          </w:tcPr>
          <w:p>
            <w:pPr>
              <w:widowControl/>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开发区老区及新扩区域</w:t>
            </w:r>
          </w:p>
        </w:tc>
      </w:tr>
      <w:tr>
        <w:tblPrEx>
          <w:tblCellMar>
            <w:top w:w="0" w:type="dxa"/>
            <w:left w:w="108" w:type="dxa"/>
            <w:bottom w:w="0" w:type="dxa"/>
            <w:right w:w="108" w:type="dxa"/>
          </w:tblCellMar>
        </w:tblPrEx>
        <w:trPr>
          <w:trHeight w:val="402" w:hRule="atLeast"/>
        </w:trPr>
        <w:tc>
          <w:tcPr>
            <w:tcW w:w="3122"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41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质量指标</w:t>
            </w:r>
          </w:p>
        </w:tc>
        <w:tc>
          <w:tcPr>
            <w:tcW w:w="4479" w:type="dxa"/>
            <w:gridSpan w:val="2"/>
            <w:tcBorders>
              <w:top w:val="single" w:color="auto" w:sz="4" w:space="0"/>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征地和拆迁那补偿资金支出合规性</w:t>
            </w:r>
          </w:p>
        </w:tc>
        <w:tc>
          <w:tcPr>
            <w:tcW w:w="2993" w:type="dxa"/>
            <w:gridSpan w:val="3"/>
            <w:tcBorders>
              <w:top w:val="single" w:color="auto" w:sz="4" w:space="0"/>
              <w:left w:val="nil"/>
              <w:bottom w:val="single" w:color="auto" w:sz="4" w:space="0"/>
              <w:right w:val="single" w:color="000000" w:sz="8" w:space="0"/>
            </w:tcBorders>
            <w:vAlign w:val="center"/>
          </w:tcPr>
          <w:p>
            <w:pPr>
              <w:widowControl/>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val="en-US" w:eastAsia="zh-CN"/>
              </w:rPr>
              <w:t>合规</w:t>
            </w:r>
          </w:p>
        </w:tc>
      </w:tr>
      <w:tr>
        <w:tblPrEx>
          <w:tblCellMar>
            <w:top w:w="0" w:type="dxa"/>
            <w:left w:w="108" w:type="dxa"/>
            <w:bottom w:w="0" w:type="dxa"/>
            <w:right w:w="108" w:type="dxa"/>
          </w:tblCellMar>
        </w:tblPrEx>
        <w:trPr>
          <w:trHeight w:val="402" w:hRule="atLeast"/>
        </w:trPr>
        <w:tc>
          <w:tcPr>
            <w:tcW w:w="3122"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4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479" w:type="dxa"/>
            <w:gridSpan w:val="2"/>
            <w:tcBorders>
              <w:top w:val="single" w:color="auto" w:sz="4" w:space="0"/>
              <w:left w:val="nil"/>
              <w:bottom w:val="single" w:color="auto" w:sz="4" w:space="0"/>
              <w:right w:val="single" w:color="auto" w:sz="4" w:space="0"/>
            </w:tcBorders>
            <w:vAlign w:val="center"/>
          </w:tcPr>
          <w:p>
            <w:pPr>
              <w:widowControl/>
              <w:jc w:val="center"/>
              <w:rPr>
                <w:rFonts w:hint="default" w:ascii="宋体" w:hAnsi="宋体" w:cs="宋体"/>
                <w:color w:val="000000"/>
                <w:kern w:val="0"/>
                <w:sz w:val="22"/>
                <w:szCs w:val="22"/>
                <w:lang w:val="en-US"/>
              </w:rPr>
            </w:pPr>
            <w:r>
              <w:rPr>
                <w:rFonts w:hint="eastAsia" w:ascii="宋体" w:hAnsi="宋体" w:cs="宋体"/>
                <w:color w:val="000000"/>
                <w:kern w:val="0"/>
                <w:sz w:val="22"/>
                <w:szCs w:val="22"/>
                <w:lang w:val="en-US" w:eastAsia="zh-CN"/>
              </w:rPr>
              <w:t>其他国有土地使用权出让收入安排的支出合规性</w:t>
            </w:r>
          </w:p>
        </w:tc>
        <w:tc>
          <w:tcPr>
            <w:tcW w:w="2993" w:type="dxa"/>
            <w:gridSpan w:val="3"/>
            <w:tcBorders>
              <w:top w:val="single" w:color="auto" w:sz="4" w:space="0"/>
              <w:left w:val="nil"/>
              <w:bottom w:val="single" w:color="auto" w:sz="4" w:space="0"/>
              <w:right w:val="single" w:color="000000" w:sz="8"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合规</w:t>
            </w: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402" w:hRule="atLeast"/>
        </w:trPr>
        <w:tc>
          <w:tcPr>
            <w:tcW w:w="3122"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41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时效指标</w:t>
            </w:r>
          </w:p>
        </w:tc>
        <w:tc>
          <w:tcPr>
            <w:tcW w:w="4479" w:type="dxa"/>
            <w:gridSpan w:val="2"/>
            <w:tcBorders>
              <w:top w:val="single" w:color="auto" w:sz="4" w:space="0"/>
              <w:left w:val="nil"/>
              <w:bottom w:val="single" w:color="auto" w:sz="4" w:space="0"/>
              <w:right w:val="single" w:color="auto" w:sz="4" w:space="0"/>
            </w:tcBorders>
            <w:vAlign w:val="center"/>
          </w:tcPr>
          <w:p>
            <w:pPr>
              <w:widowControl/>
              <w:jc w:val="center"/>
              <w:rPr>
                <w:rFonts w:hint="default" w:ascii="宋体" w:hAnsi="宋体" w:cs="宋体"/>
                <w:color w:val="000000"/>
                <w:kern w:val="0"/>
                <w:sz w:val="22"/>
                <w:szCs w:val="22"/>
                <w:lang w:val="en-US"/>
              </w:rPr>
            </w:pPr>
            <w:r>
              <w:rPr>
                <w:rFonts w:hint="eastAsia" w:ascii="宋体" w:hAnsi="宋体" w:cs="宋体"/>
                <w:color w:val="000000"/>
                <w:kern w:val="0"/>
                <w:sz w:val="22"/>
                <w:szCs w:val="22"/>
                <w:lang w:val="en-US" w:eastAsia="zh-CN"/>
              </w:rPr>
              <w:t>征地和拆迁那补偿资金支出及时率</w:t>
            </w:r>
          </w:p>
        </w:tc>
        <w:tc>
          <w:tcPr>
            <w:tcW w:w="2993" w:type="dxa"/>
            <w:gridSpan w:val="3"/>
            <w:tcBorders>
              <w:top w:val="single" w:color="auto" w:sz="4" w:space="0"/>
              <w:left w:val="nil"/>
              <w:bottom w:val="single" w:color="auto" w:sz="4" w:space="0"/>
              <w:right w:val="single" w:color="000000" w:sz="8"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402" w:hRule="atLeast"/>
        </w:trPr>
        <w:tc>
          <w:tcPr>
            <w:tcW w:w="3122"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4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479" w:type="dxa"/>
            <w:gridSpan w:val="2"/>
            <w:tcBorders>
              <w:top w:val="single" w:color="auto" w:sz="4" w:space="0"/>
              <w:left w:val="nil"/>
              <w:bottom w:val="single" w:color="auto" w:sz="4" w:space="0"/>
              <w:right w:val="single" w:color="auto" w:sz="4" w:space="0"/>
            </w:tcBorders>
            <w:vAlign w:val="center"/>
          </w:tcPr>
          <w:p>
            <w:pPr>
              <w:widowControl/>
              <w:jc w:val="center"/>
              <w:rPr>
                <w:rFonts w:hint="default" w:ascii="宋体" w:hAnsi="宋体" w:cs="宋体"/>
                <w:color w:val="000000"/>
                <w:kern w:val="0"/>
                <w:sz w:val="22"/>
                <w:szCs w:val="22"/>
                <w:lang w:val="en-US"/>
              </w:rPr>
            </w:pPr>
            <w:r>
              <w:rPr>
                <w:rFonts w:hint="eastAsia" w:ascii="宋体" w:hAnsi="宋体" w:cs="宋体"/>
                <w:color w:val="000000"/>
                <w:kern w:val="0"/>
                <w:sz w:val="22"/>
                <w:szCs w:val="22"/>
                <w:lang w:val="en-US" w:eastAsia="zh-CN"/>
              </w:rPr>
              <w:t>其他国有土地使用权出让收入安排的支出及时率</w:t>
            </w:r>
          </w:p>
        </w:tc>
        <w:tc>
          <w:tcPr>
            <w:tcW w:w="2993" w:type="dxa"/>
            <w:gridSpan w:val="3"/>
            <w:tcBorders>
              <w:top w:val="single" w:color="auto" w:sz="4" w:space="0"/>
              <w:left w:val="nil"/>
              <w:bottom w:val="single" w:color="auto" w:sz="4" w:space="0"/>
              <w:right w:val="single" w:color="000000" w:sz="8"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402" w:hRule="atLeast"/>
        </w:trPr>
        <w:tc>
          <w:tcPr>
            <w:tcW w:w="3122" w:type="dxa"/>
            <w:gridSpan w:val="2"/>
            <w:vMerge w:val="restart"/>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效果指标</w:t>
            </w:r>
          </w:p>
        </w:tc>
        <w:tc>
          <w:tcPr>
            <w:tcW w:w="341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经济效益指标</w:t>
            </w:r>
          </w:p>
        </w:tc>
        <w:tc>
          <w:tcPr>
            <w:tcW w:w="4479" w:type="dxa"/>
            <w:gridSpan w:val="2"/>
            <w:tcBorders>
              <w:top w:val="single" w:color="auto" w:sz="4" w:space="0"/>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rPr>
              <w:t>　</w:t>
            </w:r>
            <w:r>
              <w:rPr>
                <w:rFonts w:hint="eastAsia" w:ascii="宋体" w:hAnsi="宋体" w:cs="宋体"/>
                <w:color w:val="000000"/>
                <w:kern w:val="0"/>
                <w:sz w:val="22"/>
                <w:szCs w:val="22"/>
                <w:lang w:val="en-US" w:eastAsia="zh-CN"/>
              </w:rPr>
              <w:t>开发区老区及新扩区域经济发展</w:t>
            </w:r>
          </w:p>
        </w:tc>
        <w:tc>
          <w:tcPr>
            <w:tcW w:w="2993" w:type="dxa"/>
            <w:gridSpan w:val="3"/>
            <w:tcBorders>
              <w:top w:val="single" w:color="auto" w:sz="4" w:space="0"/>
              <w:left w:val="nil"/>
              <w:bottom w:val="single" w:color="auto" w:sz="4" w:space="0"/>
              <w:right w:val="single" w:color="000000" w:sz="8" w:space="0"/>
            </w:tcBorders>
            <w:vAlign w:val="center"/>
          </w:tcPr>
          <w:p>
            <w:pPr>
              <w:widowControl/>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val="en-US" w:eastAsia="zh-CN"/>
              </w:rPr>
              <w:t>保障</w:t>
            </w:r>
          </w:p>
        </w:tc>
      </w:tr>
      <w:tr>
        <w:tblPrEx>
          <w:tblCellMar>
            <w:top w:w="0" w:type="dxa"/>
            <w:left w:w="108" w:type="dxa"/>
            <w:bottom w:w="0" w:type="dxa"/>
            <w:right w:w="108" w:type="dxa"/>
          </w:tblCellMar>
        </w:tblPrEx>
        <w:trPr>
          <w:trHeight w:val="402" w:hRule="atLeast"/>
        </w:trPr>
        <w:tc>
          <w:tcPr>
            <w:tcW w:w="3122"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41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社会效益指标</w:t>
            </w:r>
          </w:p>
        </w:tc>
        <w:tc>
          <w:tcPr>
            <w:tcW w:w="4479"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开发区老区及新区土地征收、土地开发工作</w:t>
            </w:r>
            <w:r>
              <w:rPr>
                <w:rFonts w:hint="eastAsia" w:ascii="宋体" w:hAnsi="宋体" w:cs="宋体"/>
                <w:color w:val="000000"/>
                <w:kern w:val="0"/>
                <w:sz w:val="22"/>
                <w:szCs w:val="22"/>
              </w:rPr>
              <w:t>　</w:t>
            </w:r>
          </w:p>
        </w:tc>
        <w:tc>
          <w:tcPr>
            <w:tcW w:w="2993" w:type="dxa"/>
            <w:gridSpan w:val="3"/>
            <w:tcBorders>
              <w:top w:val="single" w:color="auto" w:sz="4" w:space="0"/>
              <w:left w:val="nil"/>
              <w:bottom w:val="single" w:color="auto" w:sz="4" w:space="0"/>
              <w:right w:val="single" w:color="000000" w:sz="8" w:space="0"/>
            </w:tcBorders>
            <w:vAlign w:val="center"/>
          </w:tcPr>
          <w:p>
            <w:pPr>
              <w:widowControl/>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val="en-US" w:eastAsia="zh-CN"/>
              </w:rPr>
              <w:t>保障</w:t>
            </w:r>
          </w:p>
        </w:tc>
      </w:tr>
      <w:tr>
        <w:tblPrEx>
          <w:tblCellMar>
            <w:top w:w="0" w:type="dxa"/>
            <w:left w:w="108" w:type="dxa"/>
            <w:bottom w:w="0" w:type="dxa"/>
            <w:right w:w="108" w:type="dxa"/>
          </w:tblCellMar>
        </w:tblPrEx>
        <w:trPr>
          <w:trHeight w:val="402" w:hRule="atLeast"/>
        </w:trPr>
        <w:tc>
          <w:tcPr>
            <w:tcW w:w="3122"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41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生态效益指标</w:t>
            </w:r>
          </w:p>
        </w:tc>
        <w:tc>
          <w:tcPr>
            <w:tcW w:w="4479"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2993" w:type="dxa"/>
            <w:gridSpan w:val="3"/>
            <w:tcBorders>
              <w:top w:val="single" w:color="auto" w:sz="4" w:space="0"/>
              <w:left w:val="nil"/>
              <w:bottom w:val="single" w:color="auto" w:sz="4" w:space="0"/>
              <w:right w:val="single" w:color="000000" w:sz="8"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402" w:hRule="atLeast"/>
        </w:trPr>
        <w:tc>
          <w:tcPr>
            <w:tcW w:w="3122" w:type="dxa"/>
            <w:gridSpan w:val="2"/>
            <w:vMerge w:val="restart"/>
            <w:tcBorders>
              <w:top w:val="single" w:color="auto" w:sz="4" w:space="0"/>
              <w:left w:val="single" w:color="auto" w:sz="8" w:space="0"/>
              <w:bottom w:val="single" w:color="000000" w:sz="8"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满意度指标</w:t>
            </w:r>
          </w:p>
        </w:tc>
        <w:tc>
          <w:tcPr>
            <w:tcW w:w="341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满意度指标</w:t>
            </w:r>
          </w:p>
        </w:tc>
        <w:tc>
          <w:tcPr>
            <w:tcW w:w="4479"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开发区对老区及新扩区域土地征收、土地开发工作的满意度</w:t>
            </w:r>
            <w:r>
              <w:rPr>
                <w:rFonts w:hint="eastAsia" w:ascii="宋体" w:hAnsi="宋体" w:cs="宋体"/>
                <w:color w:val="000000"/>
                <w:kern w:val="0"/>
                <w:sz w:val="22"/>
                <w:szCs w:val="22"/>
              </w:rPr>
              <w:t>　</w:t>
            </w:r>
          </w:p>
        </w:tc>
        <w:tc>
          <w:tcPr>
            <w:tcW w:w="2993" w:type="dxa"/>
            <w:gridSpan w:val="3"/>
            <w:tcBorders>
              <w:top w:val="single" w:color="auto" w:sz="4" w:space="0"/>
              <w:left w:val="nil"/>
              <w:bottom w:val="single" w:color="auto" w:sz="4" w:space="0"/>
              <w:right w:val="single" w:color="000000" w:sz="8"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≥80%</w:t>
            </w: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402" w:hRule="atLeast"/>
        </w:trPr>
        <w:tc>
          <w:tcPr>
            <w:tcW w:w="3122" w:type="dxa"/>
            <w:gridSpan w:val="2"/>
            <w:vMerge w:val="continue"/>
            <w:tcBorders>
              <w:top w:val="single" w:color="auto" w:sz="4" w:space="0"/>
              <w:left w:val="single" w:color="auto" w:sz="8" w:space="0"/>
              <w:bottom w:val="single" w:color="000000" w:sz="8" w:space="0"/>
              <w:right w:val="single" w:color="auto" w:sz="4" w:space="0"/>
            </w:tcBorders>
            <w:vAlign w:val="center"/>
          </w:tcPr>
          <w:p>
            <w:pPr>
              <w:widowControl/>
              <w:jc w:val="left"/>
              <w:rPr>
                <w:rFonts w:ascii="宋体" w:hAnsi="宋体" w:cs="宋体"/>
                <w:color w:val="000000"/>
                <w:kern w:val="0"/>
                <w:sz w:val="22"/>
                <w:szCs w:val="22"/>
              </w:rPr>
            </w:pPr>
          </w:p>
        </w:tc>
        <w:tc>
          <w:tcPr>
            <w:tcW w:w="34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479"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被征收集体（单位、人）对征收工作的满意度</w:t>
            </w:r>
            <w:r>
              <w:rPr>
                <w:rFonts w:hint="eastAsia" w:ascii="宋体" w:hAnsi="宋体" w:cs="宋体"/>
                <w:color w:val="000000"/>
                <w:kern w:val="0"/>
                <w:sz w:val="22"/>
                <w:szCs w:val="22"/>
              </w:rPr>
              <w:t>　</w:t>
            </w:r>
          </w:p>
        </w:tc>
        <w:tc>
          <w:tcPr>
            <w:tcW w:w="2993" w:type="dxa"/>
            <w:gridSpan w:val="3"/>
            <w:tcBorders>
              <w:top w:val="single" w:color="auto" w:sz="4" w:space="0"/>
              <w:left w:val="nil"/>
              <w:bottom w:val="single" w:color="auto" w:sz="4" w:space="0"/>
              <w:right w:val="single" w:color="000000" w:sz="8"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lang w:val="en-US" w:eastAsia="zh-CN"/>
              </w:rPr>
              <w:t>≥80%</w:t>
            </w:r>
          </w:p>
        </w:tc>
      </w:tr>
    </w:tbl>
    <w:p>
      <w:pPr>
        <w:rPr>
          <w:rFonts w:hint="eastAsia" w:ascii="宋体" w:hAnsi="宋体"/>
          <w:sz w:val="22"/>
          <w:szCs w:val="22"/>
        </w:rPr>
      </w:pPr>
      <w:r>
        <w:rPr>
          <w:rFonts w:hint="eastAsia" w:ascii="宋体" w:hAnsi="宋体"/>
          <w:sz w:val="22"/>
          <w:szCs w:val="22"/>
        </w:rPr>
        <w:t>说明：1.预算部门按照预算部门财政管理工作绩效考核办法的具体要求设置三级指标和指标值，预算单位的投入管理指标参照相关考核要求设定。</w:t>
      </w:r>
    </w:p>
    <w:p>
      <w:pPr>
        <w:rPr>
          <w:rFonts w:hint="eastAsia" w:ascii="宋体" w:hAnsi="宋体"/>
          <w:sz w:val="22"/>
          <w:szCs w:val="22"/>
        </w:rPr>
      </w:pPr>
      <w:r>
        <w:rPr>
          <w:rFonts w:hint="eastAsia" w:ascii="宋体" w:hAnsi="宋体"/>
          <w:sz w:val="22"/>
          <w:szCs w:val="22"/>
        </w:rPr>
        <w:t xml:space="preserve">     2.数量指标指重点任务的完成数量，如培训人数增加50人。</w:t>
      </w:r>
    </w:p>
    <w:p>
      <w:pPr>
        <w:rPr>
          <w:rFonts w:hint="eastAsia" w:ascii="宋体" w:hAnsi="宋体"/>
          <w:sz w:val="22"/>
          <w:szCs w:val="22"/>
        </w:rPr>
      </w:pPr>
      <w:r>
        <w:rPr>
          <w:rFonts w:hint="eastAsia" w:ascii="宋体" w:hAnsi="宋体"/>
          <w:sz w:val="22"/>
          <w:szCs w:val="22"/>
        </w:rPr>
        <w:t xml:space="preserve">     3.质量指标指重点任务的完成质量，如重大工程验收合格率100%。</w:t>
      </w:r>
    </w:p>
    <w:p>
      <w:pPr>
        <w:rPr>
          <w:rFonts w:hint="eastAsia" w:ascii="宋体" w:hAnsi="宋体"/>
          <w:sz w:val="22"/>
          <w:szCs w:val="22"/>
        </w:rPr>
      </w:pPr>
      <w:r>
        <w:rPr>
          <w:rFonts w:hint="eastAsia" w:ascii="宋体" w:hAnsi="宋体"/>
          <w:sz w:val="22"/>
          <w:szCs w:val="22"/>
        </w:rPr>
        <w:t xml:space="preserve">     4.时效指标指重点任务的完成时效，如应急处置及时性95%。</w:t>
      </w:r>
    </w:p>
    <w:p>
      <w:pPr>
        <w:rPr>
          <w:rFonts w:hint="eastAsia" w:ascii="宋体" w:hAnsi="宋体"/>
          <w:sz w:val="22"/>
          <w:szCs w:val="22"/>
        </w:rPr>
      </w:pPr>
      <w:r>
        <w:rPr>
          <w:rFonts w:hint="eastAsia" w:ascii="宋体" w:hAnsi="宋体"/>
          <w:sz w:val="22"/>
          <w:szCs w:val="22"/>
        </w:rPr>
        <w:t xml:space="preserve">     5.效果指标指部门履职和重点任务所达到的效果，如PM2.5同比下降20%。</w:t>
      </w:r>
    </w:p>
    <w:p>
      <w:pPr>
        <w:rPr>
          <w:rFonts w:ascii="宋体" w:hAnsi="宋体"/>
          <w:sz w:val="22"/>
          <w:szCs w:val="22"/>
        </w:rPr>
      </w:pPr>
      <w:r>
        <w:rPr>
          <w:rFonts w:hint="eastAsia" w:ascii="宋体" w:hAnsi="宋体"/>
          <w:sz w:val="22"/>
          <w:szCs w:val="22"/>
        </w:rPr>
        <w:t xml:space="preserve">     6.上述产出指标和效益指标既可以按照重点任务完成情况分别填列，也可以依据所有重点任务归纳提炼综合指标。</w:t>
      </w:r>
    </w:p>
    <w:p/>
    <w:sectPr>
      <w:headerReference r:id="rId3" w:type="default"/>
      <w:footerReference r:id="rId5" w:type="default"/>
      <w:headerReference r:id="rId4" w:type="even"/>
      <w:footerReference r:id="rId6" w:type="even"/>
      <w:pgSz w:w="16840" w:h="23814"/>
      <w:pgMar w:top="1247" w:right="1400" w:bottom="1089" w:left="1559" w:header="851" w:footer="992" w:gutter="0"/>
      <w:paperSrc w:first="1" w:other="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654F"/>
    <w:rsid w:val="00002088"/>
    <w:rsid w:val="0001286D"/>
    <w:rsid w:val="00012FC1"/>
    <w:rsid w:val="000157DA"/>
    <w:rsid w:val="0002654F"/>
    <w:rsid w:val="000350DF"/>
    <w:rsid w:val="00056843"/>
    <w:rsid w:val="000640B8"/>
    <w:rsid w:val="00066C36"/>
    <w:rsid w:val="000711CD"/>
    <w:rsid w:val="00096D7E"/>
    <w:rsid w:val="000A7090"/>
    <w:rsid w:val="000C4C4A"/>
    <w:rsid w:val="000E4884"/>
    <w:rsid w:val="001047D8"/>
    <w:rsid w:val="001064E1"/>
    <w:rsid w:val="00116FC1"/>
    <w:rsid w:val="001374C5"/>
    <w:rsid w:val="00151BF8"/>
    <w:rsid w:val="00152AA5"/>
    <w:rsid w:val="00153612"/>
    <w:rsid w:val="0018597D"/>
    <w:rsid w:val="00187EBF"/>
    <w:rsid w:val="001A5670"/>
    <w:rsid w:val="001D1D7C"/>
    <w:rsid w:val="001D631F"/>
    <w:rsid w:val="0023208A"/>
    <w:rsid w:val="0023713E"/>
    <w:rsid w:val="00244906"/>
    <w:rsid w:val="002517A9"/>
    <w:rsid w:val="00252391"/>
    <w:rsid w:val="00253E0B"/>
    <w:rsid w:val="002823C9"/>
    <w:rsid w:val="00283349"/>
    <w:rsid w:val="002A71DA"/>
    <w:rsid w:val="002C2FDA"/>
    <w:rsid w:val="002C4C85"/>
    <w:rsid w:val="002C5A32"/>
    <w:rsid w:val="002D06FF"/>
    <w:rsid w:val="002D27B6"/>
    <w:rsid w:val="002E14D7"/>
    <w:rsid w:val="003026BF"/>
    <w:rsid w:val="0030497C"/>
    <w:rsid w:val="00320549"/>
    <w:rsid w:val="00324887"/>
    <w:rsid w:val="00327DC1"/>
    <w:rsid w:val="00334F5E"/>
    <w:rsid w:val="003379AA"/>
    <w:rsid w:val="00345AD9"/>
    <w:rsid w:val="0035026F"/>
    <w:rsid w:val="00372768"/>
    <w:rsid w:val="00393C2D"/>
    <w:rsid w:val="003A21F5"/>
    <w:rsid w:val="003C0395"/>
    <w:rsid w:val="003E32C2"/>
    <w:rsid w:val="00400A9B"/>
    <w:rsid w:val="004059A2"/>
    <w:rsid w:val="004175FB"/>
    <w:rsid w:val="00421C50"/>
    <w:rsid w:val="00455A32"/>
    <w:rsid w:val="0047657B"/>
    <w:rsid w:val="00486FF4"/>
    <w:rsid w:val="00487576"/>
    <w:rsid w:val="004A1E4D"/>
    <w:rsid w:val="004B017C"/>
    <w:rsid w:val="004C2F86"/>
    <w:rsid w:val="004C50FD"/>
    <w:rsid w:val="004D3764"/>
    <w:rsid w:val="00506F4B"/>
    <w:rsid w:val="00555994"/>
    <w:rsid w:val="00567F5B"/>
    <w:rsid w:val="0059782D"/>
    <w:rsid w:val="005C4E8C"/>
    <w:rsid w:val="005D2E87"/>
    <w:rsid w:val="00603B20"/>
    <w:rsid w:val="00623B21"/>
    <w:rsid w:val="00692190"/>
    <w:rsid w:val="006B26AB"/>
    <w:rsid w:val="006D3323"/>
    <w:rsid w:val="006D4CED"/>
    <w:rsid w:val="006D6D88"/>
    <w:rsid w:val="006F39D9"/>
    <w:rsid w:val="00702E34"/>
    <w:rsid w:val="007172AC"/>
    <w:rsid w:val="007601FD"/>
    <w:rsid w:val="00766CE1"/>
    <w:rsid w:val="00786CA8"/>
    <w:rsid w:val="00786E23"/>
    <w:rsid w:val="0079526F"/>
    <w:rsid w:val="007A2F00"/>
    <w:rsid w:val="007B5723"/>
    <w:rsid w:val="007C1C6A"/>
    <w:rsid w:val="007E595C"/>
    <w:rsid w:val="00800429"/>
    <w:rsid w:val="00811247"/>
    <w:rsid w:val="008120E5"/>
    <w:rsid w:val="00823871"/>
    <w:rsid w:val="00832FF7"/>
    <w:rsid w:val="00852B4D"/>
    <w:rsid w:val="008556A6"/>
    <w:rsid w:val="00872F5D"/>
    <w:rsid w:val="0088271C"/>
    <w:rsid w:val="00890210"/>
    <w:rsid w:val="00892206"/>
    <w:rsid w:val="008A0088"/>
    <w:rsid w:val="008C167E"/>
    <w:rsid w:val="008C25E3"/>
    <w:rsid w:val="008E1955"/>
    <w:rsid w:val="008F667F"/>
    <w:rsid w:val="008F7C97"/>
    <w:rsid w:val="00925B73"/>
    <w:rsid w:val="009445D0"/>
    <w:rsid w:val="0094741F"/>
    <w:rsid w:val="009612D4"/>
    <w:rsid w:val="009722EB"/>
    <w:rsid w:val="00972F93"/>
    <w:rsid w:val="009977DD"/>
    <w:rsid w:val="009F0B78"/>
    <w:rsid w:val="009F6732"/>
    <w:rsid w:val="00A10CF4"/>
    <w:rsid w:val="00A51657"/>
    <w:rsid w:val="00A55C4A"/>
    <w:rsid w:val="00A6614A"/>
    <w:rsid w:val="00AA141A"/>
    <w:rsid w:val="00AB0D0B"/>
    <w:rsid w:val="00AB48AF"/>
    <w:rsid w:val="00AC09B7"/>
    <w:rsid w:val="00AC500A"/>
    <w:rsid w:val="00AC7FD1"/>
    <w:rsid w:val="00AD7485"/>
    <w:rsid w:val="00AF7EF3"/>
    <w:rsid w:val="00B26DFC"/>
    <w:rsid w:val="00B7581E"/>
    <w:rsid w:val="00B9754D"/>
    <w:rsid w:val="00BC22A1"/>
    <w:rsid w:val="00BD2F8D"/>
    <w:rsid w:val="00BE4EA5"/>
    <w:rsid w:val="00BF614F"/>
    <w:rsid w:val="00C02F5E"/>
    <w:rsid w:val="00C10DA4"/>
    <w:rsid w:val="00C11330"/>
    <w:rsid w:val="00C150EC"/>
    <w:rsid w:val="00C246DF"/>
    <w:rsid w:val="00C32A06"/>
    <w:rsid w:val="00C363DF"/>
    <w:rsid w:val="00C511B0"/>
    <w:rsid w:val="00C53415"/>
    <w:rsid w:val="00C6569F"/>
    <w:rsid w:val="00C7115A"/>
    <w:rsid w:val="00C82ABA"/>
    <w:rsid w:val="00C858AF"/>
    <w:rsid w:val="00C86E19"/>
    <w:rsid w:val="00C9619E"/>
    <w:rsid w:val="00C97FA2"/>
    <w:rsid w:val="00CC03C9"/>
    <w:rsid w:val="00CD6126"/>
    <w:rsid w:val="00CD728D"/>
    <w:rsid w:val="00CF254B"/>
    <w:rsid w:val="00CF3BA4"/>
    <w:rsid w:val="00D03979"/>
    <w:rsid w:val="00D32144"/>
    <w:rsid w:val="00D41C92"/>
    <w:rsid w:val="00D427C7"/>
    <w:rsid w:val="00D56D59"/>
    <w:rsid w:val="00D63988"/>
    <w:rsid w:val="00D64E91"/>
    <w:rsid w:val="00D76E23"/>
    <w:rsid w:val="00D8079C"/>
    <w:rsid w:val="00D81838"/>
    <w:rsid w:val="00D83D36"/>
    <w:rsid w:val="00D863E5"/>
    <w:rsid w:val="00D94956"/>
    <w:rsid w:val="00D97BFB"/>
    <w:rsid w:val="00DC3A6A"/>
    <w:rsid w:val="00DE7067"/>
    <w:rsid w:val="00E613B3"/>
    <w:rsid w:val="00E63061"/>
    <w:rsid w:val="00E95415"/>
    <w:rsid w:val="00EA33A6"/>
    <w:rsid w:val="00ED0B4E"/>
    <w:rsid w:val="00EF183A"/>
    <w:rsid w:val="00F42CFD"/>
    <w:rsid w:val="00F566E1"/>
    <w:rsid w:val="00F56C56"/>
    <w:rsid w:val="00F56E9E"/>
    <w:rsid w:val="00F72B25"/>
    <w:rsid w:val="00F843D4"/>
    <w:rsid w:val="00F84FCB"/>
    <w:rsid w:val="00F90DFD"/>
    <w:rsid w:val="00F977F1"/>
    <w:rsid w:val="00FB31B8"/>
    <w:rsid w:val="00FB7672"/>
    <w:rsid w:val="00FC0DDB"/>
    <w:rsid w:val="00FF57A3"/>
    <w:rsid w:val="4D3B76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9"/>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page number"/>
    <w:basedOn w:val="5"/>
    <w:uiPriority w:val="0"/>
  </w:style>
  <w:style w:type="character" w:customStyle="1" w:styleId="7">
    <w:name w:val="页眉 Char"/>
    <w:link w:val="3"/>
    <w:uiPriority w:val="0"/>
    <w:rPr>
      <w:sz w:val="18"/>
      <w:szCs w:val="18"/>
    </w:rPr>
  </w:style>
  <w:style w:type="character" w:customStyle="1" w:styleId="8">
    <w:name w:val="页脚 Char"/>
    <w:link w:val="2"/>
    <w:uiPriority w:val="0"/>
    <w:rPr>
      <w:sz w:val="18"/>
      <w:szCs w:val="18"/>
    </w:rPr>
  </w:style>
  <w:style w:type="character" w:customStyle="1" w:styleId="9">
    <w:name w:val="页眉 Char1"/>
    <w:basedOn w:val="5"/>
    <w:link w:val="3"/>
    <w:semiHidden/>
    <w:uiPriority w:val="99"/>
    <w:rPr>
      <w:rFonts w:ascii="Times New Roman" w:hAnsi="Times New Roman" w:eastAsia="宋体" w:cs="Times New Roman"/>
      <w:sz w:val="18"/>
      <w:szCs w:val="18"/>
    </w:rPr>
  </w:style>
  <w:style w:type="character" w:customStyle="1" w:styleId="10">
    <w:name w:val="页脚 Char1"/>
    <w:basedOn w:val="5"/>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959</Words>
  <Characters>1013</Characters>
  <Lines>6</Lines>
  <Paragraphs>1</Paragraphs>
  <TotalTime>1</TotalTime>
  <ScaleCrop>false</ScaleCrop>
  <LinksUpToDate>false</LinksUpToDate>
  <CharactersWithSpaces>1096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2020-06-12T01:44:00Z</dcterms:created>
  <dc:creator>路阳</dc:creator>
  <cp:lastModifiedBy>孙航</cp:lastModifiedBy>
  <dcterms:modified xsi:type="dcterms:W3CDTF">2022-03-23T09:37:55Z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AF21379B864D467FB5E8510674D17EC5</vt:lpwstr>
  </property>
</Properties>
</file>